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i/>
          <w:i/>
          <w:iCs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26"/>
          <w:szCs w:val="26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/>
          <w:i/>
          <w:iCs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26"/>
          <w:szCs w:val="26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/>
          <w:i/>
          <w:iCs/>
          <w:sz w:val="30"/>
          <w:szCs w:val="30"/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30"/>
          <w:szCs w:val="30"/>
          <w:u w:val="single"/>
        </w:rPr>
        <w:t>LA GEMAPI : LES CONTOURS D'UNE COMPÉTENCE OBLIGATOIRE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</w:r>
    </w:p>
    <w:p>
      <w:pPr>
        <w:pStyle w:val="Standard"/>
        <w:jc w:val="both"/>
        <w:rPr>
          <w:i/>
          <w:i/>
          <w:iCs/>
        </w:rPr>
      </w:pPr>
      <w:r>
        <w:rPr>
          <w:i/>
          <w:iCs/>
        </w:rPr>
        <w:t>A l'occasion de l'Assemblée Générale de l'UNALCI qui vient de se tenir Josiane Janisset a présenté la synthèse du Groupe de Travail "GEMAPI"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LA GEMAPI est une obligation légale qui 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Concentre, à l’échelle communale et intercommunale, </w:t>
      </w:r>
      <w:r>
        <w:rPr>
          <w:rFonts w:cs="Times New Roman" w:ascii="Times New Roman" w:hAnsi="Times New Roman"/>
          <w:u w:val="single"/>
        </w:rPr>
        <w:t>des compétences jusqu’alors morcelées (réponse aux DE).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Permet aux EPCI à FP d’aborder de manière conjointe la prévention des inondations, la gestion des milieux aquatiques </w:t>
      </w:r>
      <w:r>
        <w:rPr>
          <w:rFonts w:cs="Times New Roman" w:ascii="Times New Roman" w:hAnsi="Times New Roman"/>
          <w:b/>
          <w:bCs/>
        </w:rPr>
        <w:t>et l’urbanisme</w:t>
      </w:r>
      <w:r>
        <w:rPr>
          <w:rFonts w:cs="Times New Roman" w:ascii="Times New Roman" w:hAnsi="Times New Roman"/>
        </w:rPr>
        <w:t>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Recouvre des missions définies au code de l’environnement =&gt; Une compétence ciblée, affectée, avec une adaptation au cas par cas.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Permet, pour prévenir les inondations, la création d’ouvrage de protection, la gestion et l’utilisation d’ouvrages, d’infrastructures n’ayant pas initialement cette vocation. </w:t>
      </w:r>
      <w:r>
        <w:rPr>
          <w:rFonts w:cs="Times New Roman" w:ascii="Times New Roman" w:hAnsi="Times New Roman"/>
          <w:b/>
          <w:bCs/>
        </w:rPr>
        <w:t>Les ouvrages pouvant contribuer à la protection des inondations doivent être mis à disposition de la structure porteuse de la GEMAPI.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</w:rPr>
        <w:t xml:space="preserve">Doit s’appliquer sur des périmètres pertinents (bassins versants, etc.) =&gt; le regroupement des EPCI permet la gouvernance des systèmes d’endiguement (ou la mise à disposition de l’ouvrage) à l’échelle adaptée. </w:t>
      </w:r>
      <w:r>
        <w:rPr>
          <w:rFonts w:cs="Times New Roman" w:ascii="Times New Roman" w:hAnsi="Times New Roman"/>
          <w:b/>
          <w:bCs/>
        </w:rPr>
        <w:t xml:space="preserve">Pour un besoin de cohérence territoriale et d’approche transversale le bloc communal peut, si nécessaire, </w:t>
      </w:r>
      <w:r>
        <w:rPr>
          <w:rFonts w:cs="Times New Roman" w:ascii="Times New Roman" w:hAnsi="Times New Roman"/>
          <w:b/>
          <w:bCs/>
          <w:u w:val="single"/>
        </w:rPr>
        <w:t>transférer</w:t>
      </w:r>
      <w:r>
        <w:rPr>
          <w:rFonts w:cs="Times New Roman" w:ascii="Times New Roman" w:hAnsi="Times New Roman"/>
          <w:b/>
          <w:bCs/>
        </w:rPr>
        <w:t xml:space="preserve"> (à un syndicat mixte) </w:t>
      </w:r>
      <w:r>
        <w:rPr>
          <w:rFonts w:cs="Times New Roman" w:ascii="Times New Roman" w:hAnsi="Times New Roman"/>
          <w:b/>
          <w:bCs/>
          <w:u w:val="single"/>
        </w:rPr>
        <w:t xml:space="preserve">ou déléguer </w:t>
      </w:r>
      <w:r>
        <w:rPr>
          <w:rFonts w:cs="Times New Roman" w:ascii="Times New Roman" w:hAnsi="Times New Roman"/>
          <w:b/>
          <w:bCs/>
        </w:rPr>
        <w:t>(à un EPTB ou EPAGE) cette compétence GEMAPI</w:t>
      </w:r>
      <w:r>
        <w:rPr>
          <w:rFonts w:cs="Times New Roman" w:ascii="Times New Roman" w:hAnsi="Times New Roman"/>
          <w:b w:val="false"/>
          <w:bCs w:val="false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TAXE GEMAPI :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Instituée et perçue par l’EPCI-FP compétent, </w:t>
      </w:r>
      <w:r>
        <w:rPr>
          <w:rFonts w:cs="Times New Roman" w:ascii="Times New Roman" w:hAnsi="Times New Roman"/>
        </w:rPr>
        <w:t>même en cas de délégation ou transfert partiel ou total de la compétence.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Facultative, exclusivement affectée aux dépenses </w:t>
      </w:r>
      <w:r>
        <w:rPr>
          <w:rFonts w:cs="Times New Roman" w:ascii="Times New Roman" w:hAnsi="Times New Roman"/>
        </w:rPr>
        <w:t xml:space="preserve">(fonctionnement et investissement) liées à l’exercice de la compétence GEMAPI 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Non territorialisable =&gt; </w:t>
      </w:r>
      <w:r>
        <w:rPr>
          <w:rFonts w:cs="Times New Roman" w:ascii="Times New Roman" w:hAnsi="Times New Roman"/>
        </w:rPr>
        <w:t>tous les contribuables imposables devront s’en acquitter sans distinction territoriale possible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</w:r>
    </w:p>
    <w:p>
      <w:pPr>
        <w:pStyle w:val="Normal"/>
        <w:rPr/>
      </w:pPr>
      <w:bookmarkStart w:id="0" w:name="_GoBack"/>
      <w:bookmarkEnd w:id="0"/>
      <w:r>
        <w:rPr>
          <w:rFonts w:cs="Times New Roman" w:ascii="Times New Roman" w:hAnsi="Times New Roman"/>
          <w:b/>
          <w:bCs/>
          <w:u w:val="single"/>
        </w:rPr>
        <w:t>INQUIÉTUDES AUTOUR DE LA GEMAPI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La GEMAPI nécessite la mise en place d’une stratégie efficiente 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Lors du transfert =&gt; la marge de manœuvre pour l’EPCI de définir son propre niveau de protection s’amoindrit.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 existe une réelle problématique pour la mise à disposition (MAD) des gros ouvrages (problématique liée aux charges comptables) =&gt; si la MAD s’avère impossible pour certains barrages hydroélectriques comment faire pour tout de même bénéficier de leur contribution possible dans la prévention contre les inondations ? n’existe -t-il pas un vide juridique ?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Un grand flou au niveau de l’utilisation de la taxe GEMAPI =&gt; vote de la taxe sans véritablement préciser les dépenses prévisionnelles à effectuer au titre de la compétence GEMAPI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andard"/>
        <w:jc w:val="center"/>
        <w:rPr>
          <w:i/>
          <w:i/>
          <w:iCs/>
        </w:rPr>
      </w:pPr>
      <w:r>
        <w:rPr>
          <w:i/>
          <w:iCs/>
        </w:rPr>
        <w:t xml:space="preserve">POUR VISIONNER &amp; TÉLÉCHARGER LA PRÉSENTATION DANS SON INTÉGRALITÉ </w:t>
        <w:noBreakHyphen/>
      </w:r>
    </w:p>
    <w:p>
      <w:pPr>
        <w:pStyle w:val="Standard"/>
        <w:jc w:val="both"/>
        <w:rPr/>
      </w:pPr>
      <w:r>
        <w:rPr>
          <w:i/>
          <w:iCs/>
        </w:rPr>
        <w:t xml:space="preserve">                                           </w:t>
      </w:r>
      <w:r>
        <w:rPr>
          <w:i/>
          <w:iCs/>
        </w:rPr>
        <w:t xml:space="preserve">CLIQUER SUR </w:t>
      </w:r>
    </w:p>
    <w:p>
      <w:pPr>
        <w:pStyle w:val="Standard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991" w:right="703" w:header="0" w:top="745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 3">
    <w:charset w:val="02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  <w:rFonts w:cs="Wingdings 3"/>
      </w:rPr>
    </w:lvl>
    <w:lvl w:ilvl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  <w:rFonts w:cs="Wingdings 3"/>
      </w:rPr>
    </w:lvl>
    <w:lvl w:ilvl="2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  <w:rFonts w:cs="Wingdings 3"/>
      </w:rPr>
    </w:lvl>
    <w:lvl w:ilvl="3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  <w:rFonts w:cs="Wingdings 3"/>
      </w:rPr>
    </w:lvl>
    <w:lvl w:ilvl="4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  <w:rFonts w:cs="Wingdings 3"/>
      </w:rPr>
    </w:lvl>
    <w:lvl w:ilvl="5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  <w:rFonts w:cs="Wingdings 3"/>
      </w:rPr>
    </w:lvl>
    <w:lvl w:ilvl="6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  <w:rFonts w:cs="Wingdings 3"/>
      </w:rPr>
    </w:lvl>
    <w:lvl w:ilvl="7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  <w:rFonts w:cs="Wingdings 3"/>
      </w:rPr>
    </w:lvl>
    <w:lvl w:ilvl="8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  <w:rFonts w:cs="Wingdings 3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rFonts w:cs="Times New Roman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rFonts w:cs="Times New Roman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rFonts w:cs="Times New Roman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rFonts w:cs="Times New Roman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rFonts w:cs="Times New Roman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rFonts w:cs="Times New Roman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rFonts w:cs="Times New Roman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rFonts w:cs="Times New Roman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rFonts w:cs="Times New Roman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rFonts w:cs="Times New Roman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rFonts w:cs="Times New Roman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cs="Wingdings 3"/>
    </w:rPr>
  </w:style>
  <w:style w:type="character" w:styleId="ListLabel2">
    <w:name w:val="ListLabel 2"/>
    <w:qFormat/>
    <w:rPr>
      <w:rFonts w:ascii="Times New Roman" w:hAnsi="Times New Roman" w:cs="Times New Roma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Ari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f126e"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rsid w:val="00207488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fr-FR" w:eastAsia="en-US" w:bidi="ar-SA"/>
    </w:rPr>
  </w:style>
  <w:style w:type="paragraph" w:styleId="Quotations">
    <w:name w:val="Quotations"/>
    <w:basedOn w:val="Normal"/>
    <w:qFormat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LibreOffice/4.4.6.3$Windows_x86 LibreOffice_project/e8938fd3328e95dcf59dd64e7facd2c7d67c704d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2019-11-05T10:52:00Z</dcterms:created>
  <dc:creator>Microsoft Office User</dc:creator>
  <dc:language>fr-FR</dc:language>
  <cp:lastPrinted>2019-11-06T18:18:07Z</cp:lastPrinted>
  <dcterms:modified xsi:type="dcterms:W3CDTF">2019-11-07T17:16:33Z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